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6D97" w14:textId="0BCD616D" w:rsidR="000A734A" w:rsidRPr="00180CA0" w:rsidRDefault="00180CA0" w:rsidP="00214F13">
      <w:pPr>
        <w:rPr>
          <w:rFonts w:ascii="Avenir Heavy" w:hAnsi="Avenir Heavy"/>
          <w:b/>
          <w:sz w:val="20"/>
          <w:szCs w:val="22"/>
        </w:rPr>
      </w:pPr>
      <w:r>
        <w:rPr>
          <w:rFonts w:ascii="Avenir Heavy" w:hAnsi="Avenir Heavy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243A9B4" wp14:editId="5A3F9BFA">
            <wp:simplePos x="0" y="0"/>
            <wp:positionH relativeFrom="margin">
              <wp:posOffset>3429000</wp:posOffset>
            </wp:positionH>
            <wp:positionV relativeFrom="margin">
              <wp:posOffset>0</wp:posOffset>
            </wp:positionV>
            <wp:extent cx="2829560" cy="8909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AI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3" b="-265"/>
                    <a:stretch/>
                  </pic:blipFill>
                  <pic:spPr bwMode="auto">
                    <a:xfrm>
                      <a:off x="0" y="0"/>
                      <a:ext cx="28295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Heavy" w:hAnsi="Avenir Heavy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D22E8D7" wp14:editId="30F3BC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88945" cy="94107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AI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3" b="-265"/>
                    <a:stretch/>
                  </pic:blipFill>
                  <pic:spPr bwMode="auto">
                    <a:xfrm>
                      <a:off x="0" y="0"/>
                      <a:ext cx="2989882" cy="94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CA0">
        <w:rPr>
          <w:rFonts w:ascii="Avenir Heavy" w:hAnsi="Avenir Heavy"/>
          <w:b/>
          <w:sz w:val="20"/>
          <w:szCs w:val="22"/>
        </w:rPr>
        <w:t>DATE: 15</w:t>
      </w:r>
      <w:r w:rsidRPr="00180CA0">
        <w:rPr>
          <w:rFonts w:ascii="Avenir Heavy" w:hAnsi="Avenir Heavy"/>
          <w:b/>
          <w:sz w:val="20"/>
          <w:szCs w:val="22"/>
          <w:vertAlign w:val="superscript"/>
        </w:rPr>
        <w:t>TH</w:t>
      </w:r>
      <w:r w:rsidRPr="00180CA0">
        <w:rPr>
          <w:rFonts w:ascii="Avenir Heavy" w:hAnsi="Avenir Heavy"/>
          <w:b/>
          <w:sz w:val="20"/>
          <w:szCs w:val="22"/>
        </w:rPr>
        <w:t xml:space="preserve"> DEC 2016</w:t>
      </w:r>
    </w:p>
    <w:p w14:paraId="150A13FF" w14:textId="5ACC94CF" w:rsidR="000A734A" w:rsidRDefault="000A734A" w:rsidP="00214F13">
      <w:pPr>
        <w:rPr>
          <w:rFonts w:ascii="Avenir Heavy" w:hAnsi="Avenir Heavy"/>
          <w:b/>
          <w:sz w:val="22"/>
          <w:szCs w:val="22"/>
        </w:rPr>
      </w:pPr>
    </w:p>
    <w:p w14:paraId="3EADE4D2" w14:textId="77777777" w:rsidR="000A734A" w:rsidRDefault="000A734A" w:rsidP="00214F13">
      <w:pPr>
        <w:rPr>
          <w:rFonts w:ascii="Avenir Heavy" w:hAnsi="Avenir Heavy"/>
          <w:b/>
          <w:sz w:val="22"/>
          <w:szCs w:val="22"/>
        </w:rPr>
      </w:pPr>
    </w:p>
    <w:p w14:paraId="30301532" w14:textId="77777777" w:rsidR="000A734A" w:rsidRDefault="000A734A" w:rsidP="00214F13">
      <w:pPr>
        <w:rPr>
          <w:rFonts w:ascii="Avenir Heavy" w:hAnsi="Avenir Heavy"/>
          <w:b/>
          <w:sz w:val="22"/>
          <w:szCs w:val="22"/>
        </w:rPr>
      </w:pPr>
    </w:p>
    <w:p w14:paraId="753E5E7E" w14:textId="77777777" w:rsidR="000A734A" w:rsidRDefault="000A734A" w:rsidP="00214F13">
      <w:pPr>
        <w:rPr>
          <w:rFonts w:ascii="Avenir Heavy" w:hAnsi="Avenir Heavy"/>
          <w:b/>
          <w:sz w:val="22"/>
          <w:szCs w:val="22"/>
        </w:rPr>
      </w:pPr>
    </w:p>
    <w:p w14:paraId="74BBF46B" w14:textId="77777777" w:rsidR="000A734A" w:rsidRDefault="000A734A" w:rsidP="00214F13">
      <w:pPr>
        <w:rPr>
          <w:rFonts w:ascii="Avenir Heavy" w:hAnsi="Avenir Heavy"/>
          <w:b/>
          <w:sz w:val="22"/>
          <w:szCs w:val="22"/>
        </w:rPr>
      </w:pPr>
    </w:p>
    <w:p w14:paraId="35A95394" w14:textId="77777777" w:rsidR="00180CA0" w:rsidRDefault="00180CA0" w:rsidP="00214F13">
      <w:pPr>
        <w:rPr>
          <w:rFonts w:ascii="Avenir Heavy" w:hAnsi="Avenir Heavy"/>
          <w:b/>
          <w:sz w:val="22"/>
          <w:szCs w:val="22"/>
        </w:rPr>
      </w:pPr>
    </w:p>
    <w:p w14:paraId="6D7F3C9F" w14:textId="77777777" w:rsidR="001A4B6C" w:rsidRPr="00214F13" w:rsidRDefault="004C17F8" w:rsidP="00214F13">
      <w:pPr>
        <w:rPr>
          <w:rFonts w:ascii="Avenir Heavy" w:hAnsi="Avenir Heavy"/>
          <w:b/>
          <w:sz w:val="22"/>
        </w:rPr>
      </w:pPr>
      <w:r w:rsidRPr="00214F13">
        <w:rPr>
          <w:rFonts w:ascii="Avenir Heavy" w:hAnsi="Avenir Heavy"/>
          <w:b/>
          <w:sz w:val="22"/>
          <w:szCs w:val="22"/>
        </w:rPr>
        <w:t>Br</w:t>
      </w:r>
      <w:r w:rsidRPr="00214F13">
        <w:rPr>
          <w:rFonts w:ascii="Avenir Heavy" w:hAnsi="Avenir Heavy"/>
          <w:b/>
          <w:sz w:val="22"/>
        </w:rPr>
        <w:t xml:space="preserve">ief Summary on The Gazette published by MOEF, </w:t>
      </w:r>
      <w:proofErr w:type="spellStart"/>
      <w:proofErr w:type="gramStart"/>
      <w:r w:rsidRPr="00214F13">
        <w:rPr>
          <w:rFonts w:ascii="Avenir Heavy" w:hAnsi="Avenir Heavy"/>
          <w:b/>
          <w:sz w:val="22"/>
        </w:rPr>
        <w:t>dt</w:t>
      </w:r>
      <w:proofErr w:type="spellEnd"/>
      <w:proofErr w:type="gramEnd"/>
      <w:r w:rsidRPr="00214F13">
        <w:rPr>
          <w:rFonts w:ascii="Avenir Heavy" w:hAnsi="Avenir Heavy"/>
          <w:b/>
          <w:sz w:val="22"/>
        </w:rPr>
        <w:t xml:space="preserve"> 9</w:t>
      </w:r>
      <w:r w:rsidRPr="00214F13">
        <w:rPr>
          <w:rFonts w:ascii="Avenir Heavy" w:hAnsi="Avenir Heavy"/>
          <w:b/>
          <w:sz w:val="22"/>
          <w:vertAlign w:val="superscript"/>
        </w:rPr>
        <w:t>th</w:t>
      </w:r>
      <w:r w:rsidRPr="00214F13">
        <w:rPr>
          <w:rFonts w:ascii="Avenir Heavy" w:hAnsi="Avenir Heavy"/>
          <w:b/>
          <w:sz w:val="22"/>
        </w:rPr>
        <w:t xml:space="preserve"> </w:t>
      </w:r>
      <w:proofErr w:type="spellStart"/>
      <w:r w:rsidRPr="00214F13">
        <w:rPr>
          <w:rFonts w:ascii="Avenir Heavy" w:hAnsi="Avenir Heavy"/>
          <w:b/>
          <w:sz w:val="22"/>
        </w:rPr>
        <w:t>Dec</w:t>
      </w:r>
      <w:r w:rsidR="00214F13">
        <w:rPr>
          <w:rFonts w:ascii="Avenir Heavy" w:hAnsi="Avenir Heavy"/>
          <w:b/>
          <w:sz w:val="22"/>
        </w:rPr>
        <w:t>emeber</w:t>
      </w:r>
      <w:proofErr w:type="spellEnd"/>
      <w:r w:rsidRPr="00214F13">
        <w:rPr>
          <w:rFonts w:ascii="Avenir Heavy" w:hAnsi="Avenir Heavy"/>
          <w:b/>
          <w:sz w:val="22"/>
        </w:rPr>
        <w:t xml:space="preserve"> 2016 on Integration of Environmental Conditions in Building Bye-laws:</w:t>
      </w:r>
    </w:p>
    <w:p w14:paraId="45459D3B" w14:textId="77777777" w:rsidR="004C17F8" w:rsidRPr="00214F13" w:rsidRDefault="004C17F8" w:rsidP="00214F13">
      <w:pPr>
        <w:jc w:val="both"/>
        <w:rPr>
          <w:rFonts w:ascii="Avenir Light" w:hAnsi="Avenir Light"/>
          <w:sz w:val="20"/>
        </w:rPr>
      </w:pPr>
    </w:p>
    <w:p w14:paraId="1EC4A7AF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36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The EIA Notification of 2006 is amended vide this Gazette.</w:t>
      </w:r>
    </w:p>
    <w:p w14:paraId="7961AB87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36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As per the amendment, construction projects having built up area less than 1,50,000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. </w:t>
      </w:r>
      <w:proofErr w:type="gram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are</w:t>
      </w:r>
      <w:proofErr w:type="gram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 exempted from purview of the EIA Notification of 2006 subject to completion of the process as stipulated in the Gazette.</w:t>
      </w:r>
    </w:p>
    <w:p w14:paraId="32FE5AC5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36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However, Local Authorities granting Building Permissions are required to adhere to the objectives and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monitorable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 environment conditions as attached.</w:t>
      </w:r>
    </w:p>
    <w:p w14:paraId="62ED13CD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" w:line="410" w:lineRule="exact"/>
        <w:ind w:right="112"/>
        <w:jc w:val="both"/>
        <w:rPr>
          <w:rFonts w:ascii="Avenir Medium" w:hAnsi="Avenir Medium" w:cs="Tahoma"/>
          <w:spacing w:val="10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0"/>
          <w:kern w:val="1"/>
          <w:sz w:val="20"/>
          <w:szCs w:val="22"/>
        </w:rPr>
        <w:t xml:space="preserve">States to adopted these changes in their </w:t>
      </w:r>
      <w:proofErr w:type="gramStart"/>
      <w:r w:rsidRPr="009F75D4">
        <w:rPr>
          <w:rFonts w:ascii="Avenir Medium" w:hAnsi="Avenir Medium" w:cs="Tahoma"/>
          <w:spacing w:val="10"/>
          <w:kern w:val="1"/>
          <w:sz w:val="20"/>
          <w:szCs w:val="22"/>
        </w:rPr>
        <w:t>bye-laws</w:t>
      </w:r>
      <w:proofErr w:type="gramEnd"/>
      <w:r w:rsidRPr="009F75D4">
        <w:rPr>
          <w:rFonts w:ascii="Avenir Medium" w:hAnsi="Avenir Medium" w:cs="Tahoma"/>
          <w:spacing w:val="10"/>
          <w:kern w:val="1"/>
          <w:sz w:val="20"/>
          <w:szCs w:val="22"/>
        </w:rPr>
        <w:t xml:space="preserve"> and relevant state laws to incorporate these conditions while approving building construction plans, after which EC will not be needed from MOEF.</w:t>
      </w:r>
    </w:p>
    <w:p w14:paraId="3C1D9051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09" w:lineRule="exact"/>
        <w:ind w:right="112"/>
        <w:jc w:val="both"/>
        <w:rPr>
          <w:rFonts w:ascii="Avenir Medium" w:hAnsi="Avenir Medium" w:cs="Tahoma"/>
          <w:spacing w:val="11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1"/>
          <w:kern w:val="1"/>
          <w:sz w:val="20"/>
          <w:szCs w:val="22"/>
        </w:rPr>
        <w:t xml:space="preserve">States to forward these proposed </w:t>
      </w:r>
      <w:proofErr w:type="gramStart"/>
      <w:r w:rsidRPr="009F75D4">
        <w:rPr>
          <w:rFonts w:ascii="Avenir Medium" w:hAnsi="Avenir Medium" w:cs="Tahoma"/>
          <w:spacing w:val="11"/>
          <w:kern w:val="1"/>
          <w:sz w:val="20"/>
          <w:szCs w:val="22"/>
        </w:rPr>
        <w:t>bye-laws</w:t>
      </w:r>
      <w:proofErr w:type="gramEnd"/>
      <w:r w:rsidRPr="009F75D4">
        <w:rPr>
          <w:rFonts w:ascii="Avenir Medium" w:hAnsi="Avenir Medium" w:cs="Tahoma"/>
          <w:spacing w:val="11"/>
          <w:kern w:val="1"/>
          <w:sz w:val="20"/>
          <w:szCs w:val="22"/>
        </w:rPr>
        <w:t xml:space="preserve"> changes to MOEF, and upon examination of the same, MOEF will convey concurrence to respective State governments.</w:t>
      </w:r>
    </w:p>
    <w:p w14:paraId="55363C08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8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8"/>
          <w:kern w:val="1"/>
          <w:sz w:val="20"/>
          <w:szCs w:val="22"/>
        </w:rPr>
        <w:t>ONLY AFTER State Government notifies these bye-laws and rules (concurred by MOEF), Central Government will issue an order to that effect stating NO separate EC is required for buildings to be constructed in that State / Local Authority.</w:t>
      </w:r>
    </w:p>
    <w:p w14:paraId="1CA9D91F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12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State </w:t>
      </w:r>
      <w:proofErr w:type="spell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Govt</w:t>
      </w:r>
      <w:proofErr w:type="spell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 / Local Authorities to constitute Environmental Cell to compliance and monitoring of building projects.</w:t>
      </w:r>
    </w:p>
    <w:p w14:paraId="3AFB486A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12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The projects having built up area between 5000 </w:t>
      </w:r>
      <w:proofErr w:type="spell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. &amp; 20,000 </w:t>
      </w:r>
      <w:proofErr w:type="spell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 are required to submit Form 1A and certification from Qualified Building Environment Auditor. These are to be submitted along with application for building permission. On the basis of this self-certification building permission will be granted.</w:t>
      </w:r>
    </w:p>
    <w:p w14:paraId="5515CF4B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12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For projects having built up area equal to or more than 20,000 </w:t>
      </w:r>
      <w:proofErr w:type="spell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. </w:t>
      </w:r>
      <w:proofErr w:type="gram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and</w:t>
      </w:r>
      <w:proofErr w:type="gram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 less than 1,50,000 </w:t>
      </w:r>
      <w:proofErr w:type="spell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., the proposal will be assessed by a Committee. The </w:t>
      </w:r>
      <w:proofErr w:type="gram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Committee will be constituted by the State Government or the local authority</w:t>
      </w:r>
      <w:proofErr w:type="gram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. Environment Cell will be responsible to present the proposal to the Committee. The Committee will appraise the project and will stipulate the conditions to be incorporated in the building permission.</w:t>
      </w:r>
    </w:p>
    <w:p w14:paraId="40BE4058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12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The Committee will be headed by head of the local </w:t>
      </w:r>
      <w:proofErr w:type="gram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authority which</w:t>
      </w:r>
      <w:proofErr w:type="gram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 approves the building permissions. </w:t>
      </w:r>
    </w:p>
    <w:p w14:paraId="5DB7507A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spacing w:val="12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lastRenderedPageBreak/>
        <w:t>The Committee will consist of at least three dedicated experts in the field of Waste Management, water conservation, resource efficiency including building materials, energy efficiency</w:t>
      </w:r>
      <w:proofErr w:type="gramStart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>;</w:t>
      </w:r>
      <w:proofErr w:type="gramEnd"/>
      <w:r w:rsidRPr="009F75D4">
        <w:rPr>
          <w:rFonts w:ascii="Avenir Medium" w:hAnsi="Avenir Medium" w:cs="Tahoma"/>
          <w:spacing w:val="12"/>
          <w:kern w:val="1"/>
          <w:sz w:val="20"/>
          <w:szCs w:val="22"/>
        </w:rPr>
        <w:t xml:space="preserve"> etc. </w:t>
      </w:r>
    </w:p>
    <w:p w14:paraId="5C97305C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1" w:lineRule="exact"/>
        <w:ind w:right="112"/>
        <w:jc w:val="both"/>
        <w:rPr>
          <w:rFonts w:ascii="Avenir Medium" w:hAnsi="Avenir Medium" w:cs="Tahoma"/>
          <w:kern w:val="1"/>
          <w:sz w:val="20"/>
          <w:szCs w:val="22"/>
        </w:rPr>
      </w:pPr>
      <w:r w:rsidRPr="009F75D4">
        <w:rPr>
          <w:rFonts w:ascii="Avenir Medium" w:hAnsi="Avenir Medium" w:cs="Tahoma"/>
          <w:kern w:val="1"/>
          <w:sz w:val="20"/>
          <w:szCs w:val="22"/>
        </w:rPr>
        <w:t>Local Authorities to certify compliance of Environmental Conditions prior to Completion certificate based on recommendation of Environment Cell constituted in Local Authority.</w:t>
      </w:r>
    </w:p>
    <w:p w14:paraId="2F2723AC" w14:textId="77777777" w:rsidR="009F75D4" w:rsidRP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77" w:line="234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For the purpose of certification, empanelled QBEA’s to assess and certify the building projects.</w:t>
      </w:r>
    </w:p>
    <w:p w14:paraId="0B9046B1" w14:textId="12426ACA" w:rsidR="009F75D4" w:rsidRDefault="009F75D4" w:rsidP="009F75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10" w:lineRule="exact"/>
        <w:ind w:right="112"/>
        <w:jc w:val="both"/>
        <w:rPr>
          <w:rFonts w:ascii="Avenir Medium" w:hAnsi="Avenir Medium" w:cs="Tahoma"/>
          <w:kern w:val="1"/>
          <w:sz w:val="20"/>
          <w:szCs w:val="22"/>
        </w:rPr>
      </w:pPr>
      <w:r w:rsidRPr="009F75D4">
        <w:rPr>
          <w:rFonts w:ascii="Avenir Medium" w:hAnsi="Avenir Medium" w:cs="Tahoma"/>
          <w:kern w:val="1"/>
          <w:sz w:val="20"/>
          <w:szCs w:val="22"/>
        </w:rPr>
        <w:t>The Environment Cell may also appoint third party auditing process and this cell will function under administrative control of local authorities</w:t>
      </w:r>
      <w:r w:rsidR="008231E5">
        <w:rPr>
          <w:rFonts w:ascii="Avenir Medium" w:hAnsi="Avenir Medium" w:cs="Tahoma"/>
          <w:kern w:val="1"/>
          <w:sz w:val="20"/>
          <w:szCs w:val="22"/>
        </w:rPr>
        <w:t>.</w:t>
      </w:r>
    </w:p>
    <w:p w14:paraId="6A06644A" w14:textId="77777777" w:rsidR="008231E5" w:rsidRPr="009F75D4" w:rsidRDefault="008231E5" w:rsidP="008231E5">
      <w:pPr>
        <w:widowControl w:val="0"/>
        <w:tabs>
          <w:tab w:val="left" w:pos="720"/>
        </w:tabs>
        <w:autoSpaceDE w:val="0"/>
        <w:autoSpaceDN w:val="0"/>
        <w:adjustRightInd w:val="0"/>
        <w:spacing w:line="410" w:lineRule="exact"/>
        <w:ind w:left="720" w:right="112"/>
        <w:jc w:val="both"/>
        <w:rPr>
          <w:rFonts w:ascii="Avenir Medium" w:hAnsi="Avenir Medium" w:cs="Tahoma"/>
          <w:kern w:val="1"/>
          <w:sz w:val="20"/>
          <w:szCs w:val="22"/>
        </w:rPr>
      </w:pPr>
    </w:p>
    <w:p w14:paraId="4A1ACB1A" w14:textId="77777777" w:rsidR="008231E5" w:rsidRPr="008231E5" w:rsidRDefault="009F75D4" w:rsidP="008231E5">
      <w:pPr>
        <w:pStyle w:val="ListParagraph"/>
        <w:numPr>
          <w:ilvl w:val="0"/>
          <w:numId w:val="8"/>
        </w:numPr>
        <w:spacing w:line="360" w:lineRule="auto"/>
        <w:rPr>
          <w:rFonts w:ascii="Avenir Medium" w:hAnsi="Avenir Medium"/>
          <w:sz w:val="20"/>
        </w:rPr>
      </w:pPr>
      <w:r w:rsidRPr="008231E5">
        <w:rPr>
          <w:rFonts w:ascii="Avenir Medium" w:hAnsi="Avenir Medium"/>
          <w:sz w:val="20"/>
        </w:rPr>
        <w:t xml:space="preserve">Under section 8(a), the Building Categories to be divided based on the size of the Project as under: 5000 to &lt; 20000 </w:t>
      </w:r>
      <w:proofErr w:type="spellStart"/>
      <w:r w:rsidRPr="008231E5">
        <w:rPr>
          <w:rFonts w:ascii="Avenir Medium" w:hAnsi="Avenir Medium"/>
          <w:sz w:val="20"/>
        </w:rPr>
        <w:t>sqm</w:t>
      </w:r>
      <w:proofErr w:type="spellEnd"/>
      <w:r w:rsidRPr="008231E5">
        <w:rPr>
          <w:rFonts w:ascii="Avenir Medium" w:hAnsi="Avenir Medium"/>
          <w:sz w:val="20"/>
        </w:rPr>
        <w:t xml:space="preserve"> </w:t>
      </w:r>
    </w:p>
    <w:p w14:paraId="57A6513E" w14:textId="77777777" w:rsidR="008231E5" w:rsidRPr="008231E5" w:rsidRDefault="009F75D4" w:rsidP="008231E5">
      <w:pPr>
        <w:spacing w:line="360" w:lineRule="auto"/>
        <w:ind w:firstLine="720"/>
        <w:rPr>
          <w:rFonts w:ascii="Avenir Medium" w:hAnsi="Avenir Medium"/>
          <w:sz w:val="20"/>
        </w:rPr>
      </w:pPr>
      <w:r w:rsidRPr="008231E5">
        <w:rPr>
          <w:rFonts w:ascii="Avenir Medium" w:hAnsi="Avenir Medium"/>
          <w:sz w:val="20"/>
        </w:rPr>
        <w:t xml:space="preserve">20000 to &lt; 50000 </w:t>
      </w:r>
      <w:proofErr w:type="spellStart"/>
      <w:r w:rsidRPr="008231E5">
        <w:rPr>
          <w:rFonts w:ascii="Avenir Medium" w:hAnsi="Avenir Medium"/>
          <w:sz w:val="20"/>
        </w:rPr>
        <w:t>sqm</w:t>
      </w:r>
      <w:proofErr w:type="spellEnd"/>
      <w:r w:rsidRPr="008231E5">
        <w:rPr>
          <w:rFonts w:ascii="Avenir Medium" w:hAnsi="Avenir Medium"/>
          <w:sz w:val="20"/>
        </w:rPr>
        <w:t xml:space="preserve"> </w:t>
      </w:r>
    </w:p>
    <w:p w14:paraId="38F4B989" w14:textId="2287A4D9" w:rsidR="009F75D4" w:rsidRPr="008231E5" w:rsidRDefault="009F75D4" w:rsidP="008231E5">
      <w:pPr>
        <w:spacing w:line="360" w:lineRule="auto"/>
        <w:ind w:firstLine="720"/>
        <w:rPr>
          <w:rFonts w:ascii="Avenir Medium" w:hAnsi="Avenir Medium"/>
          <w:sz w:val="20"/>
        </w:rPr>
      </w:pPr>
      <w:r w:rsidRPr="008231E5">
        <w:rPr>
          <w:rFonts w:ascii="Avenir Medium" w:hAnsi="Avenir Medium"/>
          <w:sz w:val="20"/>
        </w:rPr>
        <w:t xml:space="preserve">50000 to 150000 </w:t>
      </w:r>
      <w:proofErr w:type="spellStart"/>
      <w:r w:rsidRPr="008231E5">
        <w:rPr>
          <w:rFonts w:ascii="Avenir Medium" w:hAnsi="Avenir Medium"/>
          <w:sz w:val="20"/>
        </w:rPr>
        <w:t>sqm</w:t>
      </w:r>
      <w:bookmarkStart w:id="0" w:name="_GoBack"/>
      <w:bookmarkEnd w:id="0"/>
      <w:proofErr w:type="spellEnd"/>
    </w:p>
    <w:p w14:paraId="1F7E9051" w14:textId="77777777" w:rsidR="009F75D4" w:rsidRPr="009F75D4" w:rsidRDefault="009F75D4" w:rsidP="009F75D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73" w:line="259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Projects above 150000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sqm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 will continue to follow existing process for obtaining EC.</w:t>
      </w:r>
    </w:p>
    <w:p w14:paraId="55733B35" w14:textId="77777777" w:rsidR="009F75D4" w:rsidRPr="009F75D4" w:rsidRDefault="009F75D4" w:rsidP="009F75D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73" w:line="259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Projects having built up area equal to or more than 3,00,000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sq.m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. </w:t>
      </w:r>
      <w:proofErr w:type="gram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will</w:t>
      </w:r>
      <w:proofErr w:type="gram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 be treated as Category A projects i.e. the EC will be processed at MOEF&amp;CC, Delhi level.</w:t>
      </w:r>
    </w:p>
    <w:p w14:paraId="40B33A8B" w14:textId="77777777" w:rsidR="009F75D4" w:rsidRPr="009F75D4" w:rsidRDefault="009F75D4" w:rsidP="009F75D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73" w:line="259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The project proponent will be required to submit performance data and continued compliance of the project every five years after completion of the project with focus on energy use; energy generated onsite from renewable energy sources; water use and waste water generated, treated and reused; etc.</w:t>
      </w:r>
    </w:p>
    <w:p w14:paraId="36D9BB9E" w14:textId="77777777" w:rsidR="009F75D4" w:rsidRPr="009F75D4" w:rsidRDefault="009F75D4" w:rsidP="009F75D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73" w:line="259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Compliance with ECBC norms is made compulsory.</w:t>
      </w:r>
    </w:p>
    <w:p w14:paraId="59FF5D0F" w14:textId="77777777" w:rsidR="009F75D4" w:rsidRPr="009F75D4" w:rsidRDefault="009F75D4" w:rsidP="009F75D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37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The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Env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 Cell may randomly check project compliance (including 5 years audit report by QEBA’s) and may impose financial penalties for non-compliance. Financial Penalty to be decided by local authority.</w:t>
      </w:r>
    </w:p>
    <w:p w14:paraId="34A1FF49" w14:textId="77777777" w:rsidR="009F75D4" w:rsidRPr="009F75D4" w:rsidRDefault="009F75D4" w:rsidP="009F75D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92" w:line="236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No Consent to Establish &amp; Operate will be required from State PCB’s for projects under 150,000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sqm</w:t>
      </w:r>
      <w:proofErr w:type="spellEnd"/>
    </w:p>
    <w:p w14:paraId="45CB7081" w14:textId="77777777" w:rsidR="009F75D4" w:rsidRPr="009F75D4" w:rsidRDefault="009F75D4" w:rsidP="009F75D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9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 xml:space="preserve">Treated Effluent to be utilized as much as possible within the project. Thereafter, surplus treated effluent can be disposed off as per CPCB norms (i.e. in </w:t>
      </w:r>
      <w:proofErr w:type="spellStart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nalas</w:t>
      </w:r>
      <w:proofErr w:type="spellEnd"/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, streams for irrigation or in certain water bodies only)</w:t>
      </w:r>
    </w:p>
    <w:p w14:paraId="28A7EEAA" w14:textId="77777777" w:rsidR="009F75D4" w:rsidRPr="009F75D4" w:rsidRDefault="009F75D4" w:rsidP="009F75D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9" w:line="411" w:lineRule="exact"/>
        <w:ind w:right="112"/>
        <w:jc w:val="both"/>
        <w:rPr>
          <w:rFonts w:ascii="Avenir Medium" w:hAnsi="Avenir Medium" w:cs="Tahoma"/>
          <w:spacing w:val="9"/>
          <w:kern w:val="1"/>
          <w:sz w:val="20"/>
          <w:szCs w:val="22"/>
        </w:rPr>
      </w:pPr>
      <w:r w:rsidRPr="009F75D4">
        <w:rPr>
          <w:rFonts w:ascii="Avenir Medium" w:hAnsi="Avenir Medium" w:cs="Tahoma"/>
          <w:spacing w:val="9"/>
          <w:kern w:val="1"/>
          <w:sz w:val="20"/>
          <w:szCs w:val="22"/>
        </w:rPr>
        <w:t>Violations under this notification will invite financial penalties.</w:t>
      </w:r>
    </w:p>
    <w:p w14:paraId="4D7BB584" w14:textId="77777777" w:rsidR="009F75D4" w:rsidRPr="009F75D4" w:rsidRDefault="009F75D4" w:rsidP="009F75D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8" w:line="411" w:lineRule="exact"/>
        <w:ind w:right="112"/>
        <w:jc w:val="both"/>
        <w:rPr>
          <w:rFonts w:ascii="Avenir Medium" w:hAnsi="Avenir Medium" w:cs="Tahoma"/>
          <w:kern w:val="1"/>
          <w:sz w:val="20"/>
          <w:szCs w:val="22"/>
        </w:rPr>
      </w:pPr>
      <w:r w:rsidRPr="009F75D4">
        <w:rPr>
          <w:rFonts w:ascii="Avenir Medium" w:hAnsi="Avenir Medium" w:cs="Tahoma"/>
          <w:kern w:val="1"/>
          <w:sz w:val="20"/>
          <w:szCs w:val="22"/>
        </w:rPr>
        <w:t xml:space="preserve">Built-up Area definition: All covered area on all floors including basements, service areas, </w:t>
      </w:r>
      <w:proofErr w:type="spellStart"/>
      <w:r w:rsidRPr="009F75D4">
        <w:rPr>
          <w:rFonts w:ascii="Avenir Medium" w:hAnsi="Avenir Medium" w:cs="Tahoma"/>
          <w:kern w:val="1"/>
          <w:sz w:val="20"/>
          <w:szCs w:val="22"/>
        </w:rPr>
        <w:t>etc</w:t>
      </w:r>
      <w:proofErr w:type="spellEnd"/>
      <w:r w:rsidRPr="009F75D4">
        <w:rPr>
          <w:rFonts w:ascii="Avenir Medium" w:hAnsi="Avenir Medium" w:cs="Tahoma"/>
          <w:kern w:val="1"/>
          <w:sz w:val="20"/>
          <w:szCs w:val="22"/>
        </w:rPr>
        <w:t xml:space="preserve"> </w:t>
      </w:r>
      <w:proofErr w:type="gramStart"/>
      <w:r w:rsidRPr="009F75D4">
        <w:rPr>
          <w:rFonts w:ascii="Avenir Medium" w:hAnsi="Avenir Medium" w:cs="Tahoma"/>
          <w:kern w:val="1"/>
          <w:sz w:val="20"/>
          <w:szCs w:val="22"/>
        </w:rPr>
        <w:t>proposed to be built</w:t>
      </w:r>
      <w:proofErr w:type="gramEnd"/>
      <w:r w:rsidRPr="009F75D4">
        <w:rPr>
          <w:rFonts w:ascii="Avenir Medium" w:hAnsi="Avenir Medium" w:cs="Tahoma"/>
          <w:kern w:val="1"/>
          <w:sz w:val="20"/>
          <w:szCs w:val="22"/>
        </w:rPr>
        <w:t xml:space="preserve"> in project.</w:t>
      </w:r>
    </w:p>
    <w:p w14:paraId="710B0FF0" w14:textId="77777777" w:rsidR="008F342F" w:rsidRDefault="008F342F" w:rsidP="00214F13">
      <w:pPr>
        <w:spacing w:line="360" w:lineRule="auto"/>
        <w:rPr>
          <w:rFonts w:ascii="Avenir Heavy" w:hAnsi="Avenir Heavy"/>
          <w:b/>
          <w:color w:val="FF0000"/>
          <w:sz w:val="20"/>
        </w:rPr>
      </w:pPr>
    </w:p>
    <w:p w14:paraId="6C86A42E" w14:textId="77777777" w:rsidR="00214F13" w:rsidRPr="00F93747" w:rsidRDefault="00214F13" w:rsidP="00214F13">
      <w:pPr>
        <w:spacing w:line="360" w:lineRule="auto"/>
        <w:rPr>
          <w:rFonts w:ascii="Avenir Heavy" w:hAnsi="Avenir Heavy"/>
          <w:b/>
          <w:color w:val="FF0000"/>
        </w:rPr>
      </w:pPr>
      <w:r w:rsidRPr="00F93747">
        <w:rPr>
          <w:rFonts w:ascii="Avenir Heavy" w:hAnsi="Avenir Heavy"/>
          <w:b/>
          <w:color w:val="FF0000"/>
        </w:rPr>
        <w:t xml:space="preserve">IMPORTANT </w:t>
      </w:r>
      <w:proofErr w:type="gramStart"/>
      <w:r w:rsidRPr="00F93747">
        <w:rPr>
          <w:rFonts w:ascii="Avenir Heavy" w:hAnsi="Avenir Heavy"/>
          <w:b/>
          <w:color w:val="FF0000"/>
        </w:rPr>
        <w:t>NOTE :</w:t>
      </w:r>
      <w:proofErr w:type="gramEnd"/>
    </w:p>
    <w:p w14:paraId="045562AA" w14:textId="3A09C285" w:rsidR="004C17F8" w:rsidRPr="008F342F" w:rsidRDefault="00214F13" w:rsidP="0021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Light" w:hAnsi="Avenir Light"/>
          <w:b/>
          <w:sz w:val="22"/>
        </w:rPr>
      </w:pPr>
      <w:r w:rsidRPr="008F342F">
        <w:rPr>
          <w:rFonts w:ascii="Avenir Light" w:hAnsi="Avenir Light"/>
          <w:b/>
          <w:sz w:val="20"/>
          <w:u w:val="single"/>
        </w:rPr>
        <w:t xml:space="preserve">Please do </w:t>
      </w:r>
      <w:r w:rsidRPr="00F93747">
        <w:rPr>
          <w:rFonts w:ascii="Avenir Light" w:hAnsi="Avenir Light"/>
          <w:b/>
          <w:sz w:val="20"/>
          <w:u w:val="single"/>
        </w:rPr>
        <w:t>NOT</w:t>
      </w:r>
      <w:r w:rsidRPr="008F342F">
        <w:rPr>
          <w:rFonts w:ascii="Avenir Light" w:hAnsi="Avenir Light"/>
          <w:b/>
          <w:sz w:val="20"/>
          <w:u w:val="single"/>
        </w:rPr>
        <w:t xml:space="preserve"> start work until </w:t>
      </w:r>
      <w:r w:rsidR="00B5653C" w:rsidRPr="008F342F">
        <w:rPr>
          <w:rFonts w:ascii="Avenir Light" w:hAnsi="Avenir Light"/>
          <w:b/>
          <w:sz w:val="20"/>
          <w:u w:val="single"/>
        </w:rPr>
        <w:t xml:space="preserve">Building </w:t>
      </w:r>
      <w:r w:rsidRPr="008F342F">
        <w:rPr>
          <w:rFonts w:ascii="Avenir Light" w:hAnsi="Avenir Light"/>
          <w:b/>
          <w:sz w:val="20"/>
          <w:u w:val="single"/>
        </w:rPr>
        <w:t>plans along with</w:t>
      </w:r>
      <w:r w:rsidR="00B5653C" w:rsidRPr="008F342F">
        <w:rPr>
          <w:rFonts w:ascii="Avenir Light" w:hAnsi="Avenir Light"/>
          <w:b/>
          <w:sz w:val="20"/>
          <w:u w:val="single"/>
        </w:rPr>
        <w:t xml:space="preserve"> new</w:t>
      </w:r>
      <w:r w:rsidRPr="008F342F">
        <w:rPr>
          <w:rFonts w:ascii="Avenir Light" w:hAnsi="Avenir Light"/>
          <w:b/>
          <w:sz w:val="20"/>
          <w:u w:val="single"/>
        </w:rPr>
        <w:t xml:space="preserve"> EC conditions are approved by Local Authority</w:t>
      </w:r>
      <w:r w:rsidR="00B5653C" w:rsidRPr="008F342F">
        <w:rPr>
          <w:rFonts w:ascii="Avenir Light" w:hAnsi="Avenir Light"/>
          <w:b/>
          <w:sz w:val="20"/>
          <w:u w:val="single"/>
        </w:rPr>
        <w:t xml:space="preserve"> as per rules stipulated in this Gazette. </w:t>
      </w:r>
    </w:p>
    <w:p w14:paraId="5AB6C13D" w14:textId="77777777" w:rsidR="00214F13" w:rsidRDefault="00214F13" w:rsidP="00214F13">
      <w:pPr>
        <w:spacing w:line="360" w:lineRule="auto"/>
        <w:jc w:val="both"/>
        <w:rPr>
          <w:rFonts w:ascii="Avenir Light" w:hAnsi="Avenir Light"/>
          <w:sz w:val="22"/>
        </w:rPr>
      </w:pPr>
    </w:p>
    <w:p w14:paraId="1DEF66EA" w14:textId="77777777" w:rsidR="009F75D4" w:rsidRDefault="009F75D4" w:rsidP="00214F13">
      <w:pPr>
        <w:spacing w:line="360" w:lineRule="auto"/>
        <w:jc w:val="both"/>
        <w:rPr>
          <w:rFonts w:ascii="Avenir Light" w:hAnsi="Avenir Light"/>
          <w:sz w:val="22"/>
        </w:rPr>
      </w:pPr>
    </w:p>
    <w:p w14:paraId="0C89AB5A" w14:textId="77777777" w:rsidR="009F75D4" w:rsidRDefault="009F75D4" w:rsidP="00214F13">
      <w:pPr>
        <w:spacing w:line="360" w:lineRule="auto"/>
        <w:jc w:val="both"/>
        <w:rPr>
          <w:rFonts w:ascii="Avenir Heavy" w:hAnsi="Avenir Heavy"/>
          <w:b/>
          <w:sz w:val="22"/>
        </w:rPr>
      </w:pPr>
    </w:p>
    <w:p w14:paraId="187F4A14" w14:textId="77777777" w:rsidR="009F75D4" w:rsidRDefault="009F75D4" w:rsidP="00214F13">
      <w:pPr>
        <w:spacing w:line="360" w:lineRule="auto"/>
        <w:jc w:val="both"/>
        <w:rPr>
          <w:rFonts w:ascii="Avenir Heavy" w:hAnsi="Avenir Heavy"/>
          <w:b/>
          <w:sz w:val="22"/>
        </w:rPr>
      </w:pPr>
    </w:p>
    <w:p w14:paraId="65546036" w14:textId="2D48AA68" w:rsidR="00C318C2" w:rsidRPr="00B7015E" w:rsidRDefault="00E122CE" w:rsidP="00214F13">
      <w:pPr>
        <w:spacing w:line="360" w:lineRule="auto"/>
        <w:jc w:val="both"/>
        <w:rPr>
          <w:rFonts w:ascii="Avenir Heavy" w:hAnsi="Avenir Heavy"/>
          <w:b/>
          <w:sz w:val="22"/>
        </w:rPr>
      </w:pPr>
      <w:r w:rsidRPr="00B7015E">
        <w:rPr>
          <w:rFonts w:ascii="Avenir Heavy" w:hAnsi="Avenir Heavy"/>
          <w:b/>
          <w:sz w:val="22"/>
        </w:rPr>
        <w:t>PRO’s:</w:t>
      </w:r>
    </w:p>
    <w:p w14:paraId="26EEABFC" w14:textId="6D546240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“Ease of Doing Business” Reform for Building Construction Industry</w:t>
      </w:r>
    </w:p>
    <w:p w14:paraId="1860137B" w14:textId="1E8B8E5F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Clarity in Environmental Conditions and expectations from Developer during planning stage</w:t>
      </w:r>
    </w:p>
    <w:p w14:paraId="468EDA4F" w14:textId="69BB5DEE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Third Party Certification to ensure parity and transparency</w:t>
      </w:r>
    </w:p>
    <w:p w14:paraId="0A1F3184" w14:textId="50863D90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Local Authority is better aware of local conditions, so better control and monitoring of Environment Parameters</w:t>
      </w:r>
    </w:p>
    <w:p w14:paraId="4F70257B" w14:textId="58489764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RERA compliance will be easier as Local authority will issue building permits and EC together</w:t>
      </w:r>
    </w:p>
    <w:p w14:paraId="11572C3B" w14:textId="3DAE26F8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Simplified EC norms will ensure better Environment Protection (without shortcuts)</w:t>
      </w:r>
    </w:p>
    <w:p w14:paraId="2C9DD2D6" w14:textId="5D19E005" w:rsidR="00E122CE" w:rsidRPr="008F342F" w:rsidRDefault="00E122CE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Violation cases could be handled better at local level.</w:t>
      </w:r>
    </w:p>
    <w:p w14:paraId="4F0A443E" w14:textId="57E8E4A6" w:rsidR="00C363F2" w:rsidRPr="008F342F" w:rsidRDefault="00C363F2" w:rsidP="00E122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Consent to Establish &amp; operate will not be required</w:t>
      </w:r>
    </w:p>
    <w:p w14:paraId="0268D570" w14:textId="77777777" w:rsidR="00E122CE" w:rsidRDefault="00E122CE" w:rsidP="00214F13">
      <w:pPr>
        <w:spacing w:line="360" w:lineRule="auto"/>
        <w:jc w:val="both"/>
        <w:rPr>
          <w:rFonts w:ascii="Avenir Light" w:hAnsi="Avenir Light"/>
          <w:sz w:val="22"/>
        </w:rPr>
      </w:pPr>
    </w:p>
    <w:p w14:paraId="116C4A3E" w14:textId="23283D4D" w:rsidR="00E122CE" w:rsidRPr="00C363F2" w:rsidRDefault="00B7015E" w:rsidP="00214F13">
      <w:pPr>
        <w:spacing w:line="360" w:lineRule="auto"/>
        <w:jc w:val="both"/>
        <w:rPr>
          <w:rFonts w:ascii="Avenir Heavy" w:hAnsi="Avenir Heavy"/>
          <w:sz w:val="22"/>
        </w:rPr>
      </w:pPr>
      <w:r w:rsidRPr="00C363F2">
        <w:rPr>
          <w:rFonts w:ascii="Avenir Heavy" w:hAnsi="Avenir Heavy"/>
          <w:sz w:val="22"/>
        </w:rPr>
        <w:t>CON’s:</w:t>
      </w:r>
    </w:p>
    <w:p w14:paraId="4604A6CF" w14:textId="3B802F49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 xml:space="preserve">Projects below 20000 </w:t>
      </w:r>
      <w:proofErr w:type="spellStart"/>
      <w:r w:rsidRPr="008F342F">
        <w:rPr>
          <w:rFonts w:ascii="Avenir Light" w:hAnsi="Avenir Light"/>
          <w:sz w:val="18"/>
        </w:rPr>
        <w:t>sqm</w:t>
      </w:r>
      <w:proofErr w:type="spellEnd"/>
      <w:r w:rsidRPr="008F342F">
        <w:rPr>
          <w:rFonts w:ascii="Avenir Light" w:hAnsi="Avenir Light"/>
          <w:sz w:val="18"/>
        </w:rPr>
        <w:t xml:space="preserve"> now under EC </w:t>
      </w:r>
      <w:proofErr w:type="spellStart"/>
      <w:r w:rsidRPr="008F342F">
        <w:rPr>
          <w:rFonts w:ascii="Avenir Light" w:hAnsi="Avenir Light"/>
          <w:sz w:val="18"/>
        </w:rPr>
        <w:t>perview</w:t>
      </w:r>
      <w:proofErr w:type="spellEnd"/>
      <w:r w:rsidRPr="008F342F">
        <w:rPr>
          <w:rFonts w:ascii="Avenir Light" w:hAnsi="Avenir Light"/>
          <w:sz w:val="18"/>
        </w:rPr>
        <w:t>. It may result in marginal cost increase.</w:t>
      </w:r>
    </w:p>
    <w:p w14:paraId="4C896BC2" w14:textId="09D7C7EB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State Government not very proactive</w:t>
      </w:r>
      <w:r w:rsidR="008F342F" w:rsidRPr="008F342F">
        <w:rPr>
          <w:rFonts w:ascii="Avenir Light" w:hAnsi="Avenir Light"/>
          <w:sz w:val="18"/>
        </w:rPr>
        <w:t xml:space="preserve"> to </w:t>
      </w:r>
      <w:proofErr w:type="spellStart"/>
      <w:r w:rsidR="008F342F" w:rsidRPr="008F342F">
        <w:rPr>
          <w:rFonts w:ascii="Avenir Light" w:hAnsi="Avenir Light"/>
          <w:sz w:val="18"/>
        </w:rPr>
        <w:t>accet</w:t>
      </w:r>
      <w:proofErr w:type="spellEnd"/>
      <w:r w:rsidR="008F342F" w:rsidRPr="008F342F">
        <w:rPr>
          <w:rFonts w:ascii="Avenir Light" w:hAnsi="Avenir Light"/>
          <w:sz w:val="18"/>
        </w:rPr>
        <w:t xml:space="preserve"> this change</w:t>
      </w:r>
      <w:r w:rsidRPr="008F342F">
        <w:rPr>
          <w:rFonts w:ascii="Avenir Light" w:hAnsi="Avenir Light"/>
          <w:sz w:val="18"/>
        </w:rPr>
        <w:t xml:space="preserve"> may delay this implementation</w:t>
      </w:r>
      <w:r w:rsidR="008F342F" w:rsidRPr="008F342F">
        <w:rPr>
          <w:rFonts w:ascii="Avenir Light" w:hAnsi="Avenir Light"/>
          <w:sz w:val="18"/>
        </w:rPr>
        <w:t>.</w:t>
      </w:r>
    </w:p>
    <w:p w14:paraId="1459676D" w14:textId="77777777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 xml:space="preserve">Local Authorities may be rigid to take this up as they also become liable for monitoring and </w:t>
      </w:r>
      <w:proofErr w:type="spellStart"/>
      <w:r w:rsidRPr="008F342F">
        <w:rPr>
          <w:rFonts w:ascii="Avenir Light" w:hAnsi="Avenir Light"/>
          <w:sz w:val="18"/>
        </w:rPr>
        <w:t>checkin</w:t>
      </w:r>
      <w:proofErr w:type="spellEnd"/>
    </w:p>
    <w:p w14:paraId="0EF9F5C1" w14:textId="48737B64" w:rsidR="00B7015E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 xml:space="preserve">Environment Cell establishment </w:t>
      </w:r>
      <w:r w:rsidR="008F342F" w:rsidRPr="008F342F">
        <w:rPr>
          <w:rFonts w:ascii="Avenir Light" w:hAnsi="Avenir Light"/>
          <w:sz w:val="18"/>
        </w:rPr>
        <w:t xml:space="preserve">timelines &amp; random selection for checking </w:t>
      </w:r>
      <w:r w:rsidRPr="008F342F">
        <w:rPr>
          <w:rFonts w:ascii="Avenir Light" w:hAnsi="Avenir Light"/>
          <w:sz w:val="18"/>
        </w:rPr>
        <w:t>guidelines are not clear</w:t>
      </w:r>
    </w:p>
    <w:p w14:paraId="1AD5300E" w14:textId="7D01B039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QBEA’s empanelment procedure is not clear</w:t>
      </w:r>
      <w:r w:rsidR="008F342F" w:rsidRPr="008F342F">
        <w:rPr>
          <w:rFonts w:ascii="Avenir Light" w:hAnsi="Avenir Light"/>
          <w:sz w:val="18"/>
        </w:rPr>
        <w:t>. Status of existing NABET accredited consultants in also not clear.</w:t>
      </w:r>
    </w:p>
    <w:p w14:paraId="7ED26E3B" w14:textId="676EB471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Third party audit guidelines are not clear in this Gazette.</w:t>
      </w:r>
    </w:p>
    <w:p w14:paraId="3FA2E66D" w14:textId="6AEAB01F" w:rsidR="00C363F2" w:rsidRPr="008F342F" w:rsidRDefault="00C363F2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Groundwater permis</w:t>
      </w:r>
      <w:r w:rsidR="008F342F" w:rsidRPr="008F342F">
        <w:rPr>
          <w:rFonts w:ascii="Avenir Light" w:hAnsi="Avenir Light"/>
          <w:sz w:val="18"/>
        </w:rPr>
        <w:t>sion may not be easy to get leading to heavy tanker charges</w:t>
      </w:r>
    </w:p>
    <w:p w14:paraId="7B2238D1" w14:textId="5ADBC1B7" w:rsidR="008F342F" w:rsidRPr="008F342F" w:rsidRDefault="008F342F" w:rsidP="00C363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Light" w:hAnsi="Avenir Light"/>
          <w:sz w:val="18"/>
        </w:rPr>
      </w:pPr>
      <w:r w:rsidRPr="008F342F">
        <w:rPr>
          <w:rFonts w:ascii="Avenir Light" w:hAnsi="Avenir Light"/>
          <w:sz w:val="18"/>
        </w:rPr>
        <w:t>5-year Compliance Report costs to be significant.</w:t>
      </w:r>
    </w:p>
    <w:p w14:paraId="44D28241" w14:textId="77777777" w:rsidR="008F342F" w:rsidRPr="00C363F2" w:rsidRDefault="008F342F" w:rsidP="008F342F">
      <w:pPr>
        <w:pStyle w:val="ListParagraph"/>
        <w:spacing w:line="360" w:lineRule="auto"/>
        <w:jc w:val="both"/>
        <w:rPr>
          <w:rFonts w:ascii="Avenir Light" w:hAnsi="Avenir Light"/>
          <w:sz w:val="22"/>
        </w:rPr>
      </w:pPr>
    </w:p>
    <w:p w14:paraId="3C493004" w14:textId="2A283C16" w:rsidR="000A734A" w:rsidRPr="00F93747" w:rsidRDefault="00C318C2" w:rsidP="00214F13">
      <w:pPr>
        <w:spacing w:line="360" w:lineRule="auto"/>
        <w:jc w:val="both"/>
        <w:rPr>
          <w:rFonts w:ascii="Avenir Light" w:hAnsi="Avenir Light"/>
          <w:i/>
          <w:sz w:val="20"/>
        </w:rPr>
      </w:pPr>
      <w:r w:rsidRPr="00F93747">
        <w:rPr>
          <w:rFonts w:ascii="Avenir Light" w:hAnsi="Avenir Light"/>
          <w:i/>
          <w:sz w:val="20"/>
        </w:rPr>
        <w:t>Please read the Gazette in greater detail for specific information and detailed study before implementation of these norms in your project.</w:t>
      </w:r>
    </w:p>
    <w:p w14:paraId="361D2849" w14:textId="77777777" w:rsidR="008F342F" w:rsidRDefault="008F342F" w:rsidP="00214F13">
      <w:pPr>
        <w:spacing w:line="360" w:lineRule="auto"/>
        <w:jc w:val="both"/>
        <w:rPr>
          <w:rFonts w:ascii="Avenir Light" w:hAnsi="Avenir Light"/>
          <w:sz w:val="22"/>
        </w:rPr>
      </w:pPr>
    </w:p>
    <w:p w14:paraId="179F4EEA" w14:textId="6FB71C23" w:rsidR="008F342F" w:rsidRDefault="008F342F" w:rsidP="00214F13">
      <w:pPr>
        <w:spacing w:line="360" w:lineRule="auto"/>
        <w:jc w:val="both"/>
        <w:rPr>
          <w:rFonts w:ascii="Avenir Light" w:hAnsi="Avenir Light"/>
          <w:sz w:val="22"/>
        </w:rPr>
      </w:pPr>
      <w:r>
        <w:rPr>
          <w:rFonts w:ascii="Avenir Light" w:hAnsi="Avenir Light"/>
          <w:sz w:val="22"/>
        </w:rPr>
        <w:t>Regards,</w:t>
      </w:r>
    </w:p>
    <w:p w14:paraId="55A32B0B" w14:textId="1F7CBEAA" w:rsidR="008F342F" w:rsidRPr="008F342F" w:rsidRDefault="008F342F" w:rsidP="008F342F">
      <w:pPr>
        <w:jc w:val="both"/>
        <w:rPr>
          <w:rFonts w:ascii="Avenir Light" w:hAnsi="Avenir Light"/>
          <w:b/>
          <w:sz w:val="22"/>
        </w:rPr>
      </w:pPr>
      <w:proofErr w:type="spellStart"/>
      <w:r w:rsidRPr="008F342F">
        <w:rPr>
          <w:rFonts w:ascii="Avenir Light" w:hAnsi="Avenir Light"/>
          <w:b/>
          <w:sz w:val="22"/>
        </w:rPr>
        <w:t>Shantilal</w:t>
      </w:r>
      <w:proofErr w:type="spellEnd"/>
      <w:r w:rsidRPr="008F342F">
        <w:rPr>
          <w:rFonts w:ascii="Avenir Light" w:hAnsi="Avenir Light"/>
          <w:b/>
          <w:sz w:val="22"/>
        </w:rPr>
        <w:t xml:space="preserve"> </w:t>
      </w:r>
      <w:proofErr w:type="spellStart"/>
      <w:r w:rsidRPr="008F342F">
        <w:rPr>
          <w:rFonts w:ascii="Avenir Light" w:hAnsi="Avenir Light"/>
          <w:b/>
          <w:sz w:val="22"/>
        </w:rPr>
        <w:t>Kataria</w:t>
      </w:r>
      <w:proofErr w:type="spellEnd"/>
      <w:r w:rsidRPr="008F342F">
        <w:rPr>
          <w:rFonts w:ascii="Avenir Light" w:hAnsi="Avenir Light"/>
          <w:b/>
          <w:sz w:val="22"/>
        </w:rPr>
        <w:tab/>
      </w:r>
      <w:r>
        <w:rPr>
          <w:rFonts w:ascii="Avenir Light" w:hAnsi="Avenir Light"/>
          <w:sz w:val="22"/>
        </w:rPr>
        <w:tab/>
      </w:r>
      <w:r>
        <w:rPr>
          <w:rFonts w:ascii="Avenir Light" w:hAnsi="Avenir Light"/>
          <w:sz w:val="22"/>
        </w:rPr>
        <w:tab/>
      </w:r>
      <w:proofErr w:type="spellStart"/>
      <w:r w:rsidR="009F75D4" w:rsidRPr="009F75D4">
        <w:rPr>
          <w:rFonts w:ascii="Avenir Light" w:hAnsi="Avenir Light"/>
          <w:b/>
          <w:sz w:val="22"/>
        </w:rPr>
        <w:t>Suhas</w:t>
      </w:r>
      <w:proofErr w:type="spellEnd"/>
      <w:r w:rsidR="009F75D4" w:rsidRPr="009F75D4">
        <w:rPr>
          <w:rFonts w:ascii="Avenir Light" w:hAnsi="Avenir Light"/>
          <w:b/>
          <w:sz w:val="22"/>
        </w:rPr>
        <w:t xml:space="preserve"> Merchant</w:t>
      </w:r>
      <w:r w:rsidR="009F75D4">
        <w:rPr>
          <w:rFonts w:ascii="Avenir Light" w:hAnsi="Avenir Light"/>
          <w:sz w:val="22"/>
        </w:rPr>
        <w:tab/>
      </w:r>
      <w:r w:rsidR="009F75D4">
        <w:rPr>
          <w:rFonts w:ascii="Avenir Light" w:hAnsi="Avenir Light"/>
          <w:sz w:val="22"/>
        </w:rPr>
        <w:tab/>
      </w:r>
      <w:r w:rsidR="009F75D4">
        <w:rPr>
          <w:rFonts w:ascii="Avenir Light" w:hAnsi="Avenir Light"/>
          <w:sz w:val="22"/>
        </w:rPr>
        <w:tab/>
      </w:r>
      <w:r w:rsidRPr="008F342F">
        <w:rPr>
          <w:rFonts w:ascii="Avenir Light" w:hAnsi="Avenir Light"/>
          <w:b/>
          <w:sz w:val="22"/>
        </w:rPr>
        <w:t>Aditya Javdekar</w:t>
      </w:r>
    </w:p>
    <w:p w14:paraId="1B41CEB5" w14:textId="731220E0" w:rsidR="008F342F" w:rsidRPr="00F93747" w:rsidRDefault="008F342F" w:rsidP="008F342F">
      <w:pPr>
        <w:jc w:val="both"/>
        <w:rPr>
          <w:rFonts w:ascii="Avenir Light" w:hAnsi="Avenir Light"/>
          <w:sz w:val="20"/>
        </w:rPr>
      </w:pPr>
      <w:r w:rsidRPr="00F93747">
        <w:rPr>
          <w:rFonts w:ascii="Avenir Light" w:hAnsi="Avenir Light"/>
          <w:sz w:val="20"/>
        </w:rPr>
        <w:t>Chairman Environment Committee</w:t>
      </w:r>
      <w:r w:rsidRPr="00F93747">
        <w:rPr>
          <w:rFonts w:ascii="Avenir Light" w:hAnsi="Avenir Light"/>
          <w:sz w:val="20"/>
        </w:rPr>
        <w:tab/>
      </w:r>
      <w:r w:rsidR="009F75D4">
        <w:rPr>
          <w:rFonts w:ascii="Avenir Light" w:hAnsi="Avenir Light"/>
          <w:sz w:val="20"/>
        </w:rPr>
        <w:t>Chairman – Advisory Council</w:t>
      </w:r>
      <w:r w:rsidR="009F75D4">
        <w:rPr>
          <w:rFonts w:ascii="Avenir Light" w:hAnsi="Avenir Light"/>
          <w:sz w:val="20"/>
        </w:rPr>
        <w:tab/>
      </w:r>
      <w:r w:rsidRPr="00F93747">
        <w:rPr>
          <w:rFonts w:ascii="Avenir Light" w:hAnsi="Avenir Light"/>
          <w:sz w:val="20"/>
        </w:rPr>
        <w:tab/>
        <w:t xml:space="preserve">National </w:t>
      </w:r>
      <w:proofErr w:type="spellStart"/>
      <w:r w:rsidRPr="00F93747">
        <w:rPr>
          <w:rFonts w:ascii="Avenir Light" w:hAnsi="Avenir Light"/>
          <w:sz w:val="20"/>
        </w:rPr>
        <w:t>Convenor</w:t>
      </w:r>
      <w:proofErr w:type="spellEnd"/>
    </w:p>
    <w:p w14:paraId="61692D16" w14:textId="7DE670FE" w:rsidR="007A1A44" w:rsidRPr="00F93747" w:rsidRDefault="008F342F" w:rsidP="008F342F">
      <w:pPr>
        <w:jc w:val="both"/>
        <w:rPr>
          <w:rFonts w:ascii="Avenir Light" w:hAnsi="Avenir Light"/>
          <w:sz w:val="20"/>
        </w:rPr>
      </w:pPr>
      <w:r w:rsidRPr="00F93747">
        <w:rPr>
          <w:rFonts w:ascii="Avenir Light" w:hAnsi="Avenir Light"/>
          <w:sz w:val="20"/>
        </w:rPr>
        <w:t>CREDAI – NATIONAL</w:t>
      </w:r>
      <w:r w:rsidRPr="00F93747">
        <w:rPr>
          <w:rFonts w:ascii="Avenir Light" w:hAnsi="Avenir Light"/>
          <w:sz w:val="20"/>
        </w:rPr>
        <w:tab/>
      </w:r>
      <w:r w:rsidRPr="00F93747">
        <w:rPr>
          <w:rFonts w:ascii="Avenir Light" w:hAnsi="Avenir Light"/>
          <w:sz w:val="20"/>
        </w:rPr>
        <w:tab/>
      </w:r>
      <w:r w:rsidRPr="00F93747">
        <w:rPr>
          <w:rFonts w:ascii="Avenir Light" w:hAnsi="Avenir Light"/>
          <w:sz w:val="20"/>
        </w:rPr>
        <w:tab/>
      </w:r>
      <w:r w:rsidR="009F75D4">
        <w:rPr>
          <w:rFonts w:ascii="Avenir Light" w:hAnsi="Avenir Light"/>
          <w:sz w:val="20"/>
        </w:rPr>
        <w:t>CREDAI - Maharashtra</w:t>
      </w:r>
      <w:r w:rsidR="009F75D4">
        <w:rPr>
          <w:rFonts w:ascii="Avenir Light" w:hAnsi="Avenir Light"/>
          <w:sz w:val="20"/>
        </w:rPr>
        <w:tab/>
      </w:r>
      <w:r w:rsidR="009F75D4">
        <w:rPr>
          <w:rFonts w:ascii="Avenir Light" w:hAnsi="Avenir Light"/>
          <w:sz w:val="20"/>
        </w:rPr>
        <w:tab/>
      </w:r>
      <w:r w:rsidR="009F75D4">
        <w:rPr>
          <w:rFonts w:ascii="Avenir Light" w:hAnsi="Avenir Light"/>
          <w:sz w:val="20"/>
        </w:rPr>
        <w:tab/>
      </w:r>
      <w:r w:rsidRPr="00F93747">
        <w:rPr>
          <w:rFonts w:ascii="Avenir Light" w:hAnsi="Avenir Light"/>
          <w:sz w:val="20"/>
        </w:rPr>
        <w:t>CREDAI YOUTH WING</w:t>
      </w:r>
    </w:p>
    <w:sectPr w:rsidR="007A1A44" w:rsidRPr="00F93747" w:rsidSect="00180CA0">
      <w:pgSz w:w="11900" w:h="16840"/>
      <w:pgMar w:top="851" w:right="1128" w:bottom="992" w:left="102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9E315A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657DBA"/>
    <w:multiLevelType w:val="hybridMultilevel"/>
    <w:tmpl w:val="23A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7EA3"/>
    <w:multiLevelType w:val="hybridMultilevel"/>
    <w:tmpl w:val="A13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47BEB"/>
    <w:multiLevelType w:val="hybridMultilevel"/>
    <w:tmpl w:val="85A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31DE"/>
    <w:multiLevelType w:val="hybridMultilevel"/>
    <w:tmpl w:val="BBA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B678D"/>
    <w:multiLevelType w:val="hybridMultilevel"/>
    <w:tmpl w:val="A234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05BB4"/>
    <w:multiLevelType w:val="hybridMultilevel"/>
    <w:tmpl w:val="8DC2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869AF"/>
    <w:multiLevelType w:val="hybridMultilevel"/>
    <w:tmpl w:val="5A54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8"/>
    <w:rsid w:val="000A734A"/>
    <w:rsid w:val="00180CA0"/>
    <w:rsid w:val="001A4B6C"/>
    <w:rsid w:val="00214F13"/>
    <w:rsid w:val="004C17F8"/>
    <w:rsid w:val="00580EA8"/>
    <w:rsid w:val="007A1A44"/>
    <w:rsid w:val="008231E5"/>
    <w:rsid w:val="008F342F"/>
    <w:rsid w:val="009F75D4"/>
    <w:rsid w:val="00B5653C"/>
    <w:rsid w:val="00B7015E"/>
    <w:rsid w:val="00BD5F09"/>
    <w:rsid w:val="00C318C2"/>
    <w:rsid w:val="00C363F2"/>
    <w:rsid w:val="00CB704A"/>
    <w:rsid w:val="00D67C8F"/>
    <w:rsid w:val="00E122CE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900</Words>
  <Characters>5131</Characters>
  <Application>Microsoft Macintosh Word</Application>
  <DocSecurity>0</DocSecurity>
  <Lines>42</Lines>
  <Paragraphs>12</Paragraphs>
  <ScaleCrop>false</ScaleCrop>
  <Company>VJEH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Javdekar</dc:creator>
  <cp:keywords/>
  <dc:description/>
  <cp:lastModifiedBy>aditya Javdekar</cp:lastModifiedBy>
  <cp:revision>12</cp:revision>
  <cp:lastPrinted>2016-12-15T10:17:00Z</cp:lastPrinted>
  <dcterms:created xsi:type="dcterms:W3CDTF">2016-12-14T10:16:00Z</dcterms:created>
  <dcterms:modified xsi:type="dcterms:W3CDTF">2016-12-16T02:43:00Z</dcterms:modified>
</cp:coreProperties>
</file>